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BD" w:rsidRPr="008B7BA3" w:rsidRDefault="006C40BD" w:rsidP="006C40BD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bookmarkStart w:id="0" w:name="_GoBack"/>
      <w:bookmarkEnd w:id="0"/>
      <w:r w:rsidRPr="008B7BA3">
        <w:rPr>
          <w:rFonts w:ascii="Segoe UI" w:hAnsi="Segoe UI" w:cs="Segoe UI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6E8D37B8" wp14:editId="3A9F729F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CF41ED" w:rsidRPr="008B7BA3" w:rsidRDefault="008B7BA3" w:rsidP="00CF41ED">
      <w:pPr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СПЕЦИАЛИСТЫ КАДАСТРОВОЙ ПАЛАТЫ 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РАССКАЖУТ ОБ УВЕДОМИТЕЛЬНОМ ПОРЯДКЕ СТРОИТЕЛЬСТВА ИЖС И САДОВЫХ ДОМОВ</w:t>
      </w:r>
    </w:p>
    <w:p w:rsidR="00175030" w:rsidRPr="008B7BA3" w:rsidRDefault="006C40BD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Кадастровая палата по Курской области приглашает всех желающих принять участие в Дне консультаций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по вопросам </w:t>
      </w:r>
      <w:r w:rsidR="00175030" w:rsidRPr="008B7BA3">
        <w:rPr>
          <w:rFonts w:ascii="Segoe UI" w:hAnsi="Segoe UI" w:cs="Segoe UI"/>
          <w:color w:val="000000" w:themeColor="text1"/>
          <w:sz w:val="24"/>
          <w:szCs w:val="24"/>
        </w:rPr>
        <w:t>учетно-регистрационных действий</w:t>
      </w:r>
      <w:r w:rsidR="008B7BA3">
        <w:rPr>
          <w:rFonts w:ascii="Segoe UI" w:hAnsi="Segoe UI" w:cs="Segoe UI"/>
          <w:color w:val="000000" w:themeColor="text1"/>
          <w:sz w:val="24"/>
          <w:szCs w:val="24"/>
        </w:rPr>
        <w:t xml:space="preserve"> в </w:t>
      </w:r>
      <w:r w:rsidR="00175030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отношении объектов индивидуального жилищного строительства (жилых домов) и садовых домов в соответствии с Законом №340-ФЗ*, которым введен уведомительный порядок начала и окончания строительства (реконструкции) жилых домов и садовых домов.</w:t>
      </w:r>
    </w:p>
    <w:p w:rsidR="00186938" w:rsidRPr="008B7BA3" w:rsidRDefault="00186938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В первую очередь мероприятие актуально для граждан, планирующих построить или реконструировать жилой или садовый дом на своем земельном участке.</w:t>
      </w:r>
    </w:p>
    <w:p w:rsidR="008B7BA3" w:rsidRPr="008B7BA3" w:rsidRDefault="00175030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В ходе мероприятия граждане смогут получить разъяснения специалистов по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следующим вопросам: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поряд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о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к действий в случае строительства или реконструкции жил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ого дома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или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садового дома, межевание земельных участков, порядок согласования местоположения границ земельного участка.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Кроме того, можно б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удет узнать, как подать заявление на кадастровый учет и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ли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регистрацию прав, как выбрать кадастрового инженера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 задать свои вопросы.</w:t>
      </w:r>
    </w:p>
    <w:p w:rsidR="007D1B25" w:rsidRPr="008B7BA3" w:rsidRDefault="008B7BA3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D1B25" w:rsidRPr="008B7BA3">
        <w:rPr>
          <w:rFonts w:ascii="Segoe UI" w:hAnsi="Segoe UI" w:cs="Segoe UI"/>
          <w:color w:val="000000" w:themeColor="text1"/>
          <w:sz w:val="24"/>
          <w:szCs w:val="24"/>
        </w:rPr>
        <w:t>Спикерами мероприятия выступят начальник отдела обработки документов и обеспечения учетных действий №1 Наталья Павлова и начальник отдела обработки документов и обеспечения учетных действий № 2 Татьяна Сараева.</w:t>
      </w:r>
    </w:p>
    <w:p w:rsidR="007D1B25" w:rsidRPr="008B7BA3" w:rsidRDefault="007D1B25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Мероприятие состоится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 xml:space="preserve"> 6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июня 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2019 года с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11.00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до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12.00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, по адресу: г. Курск, проезд Сергеева, д. 10А, конференц-зал. При себе необходимо иметь документ, удостоверяющий личность.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Участие в мероприятии – бесплатное.</w:t>
      </w:r>
    </w:p>
    <w:p w:rsidR="00CF41ED" w:rsidRPr="008B7BA3" w:rsidRDefault="00001FA6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Желающих принять участие просим предварительно записаться 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>по телефон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C6DDF">
        <w:rPr>
          <w:rFonts w:ascii="Segoe UI" w:hAnsi="Segoe UI" w:cs="Segoe UI"/>
          <w:color w:val="000000" w:themeColor="text1"/>
          <w:sz w:val="24"/>
          <w:szCs w:val="24"/>
        </w:rPr>
        <w:t xml:space="preserve">         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8 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>(4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712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) 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724</w:t>
      </w:r>
      <w:r>
        <w:rPr>
          <w:rFonts w:ascii="Segoe UI" w:hAnsi="Segoe UI" w:cs="Segoe UI"/>
          <w:color w:val="000000" w:themeColor="text1"/>
          <w:sz w:val="24"/>
          <w:szCs w:val="24"/>
        </w:rPr>
        <w:t>-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000</w:t>
      </w:r>
      <w:r>
        <w:rPr>
          <w:rFonts w:ascii="Segoe UI" w:hAnsi="Segoe UI" w:cs="Segoe UI"/>
          <w:color w:val="000000" w:themeColor="text1"/>
          <w:sz w:val="24"/>
          <w:szCs w:val="24"/>
        </w:rPr>
        <w:t>, добавочный номер 2232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175030" w:rsidRPr="008B7BA3" w:rsidRDefault="00175030" w:rsidP="00175030">
      <w:pPr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8B7BA3">
        <w:rPr>
          <w:rFonts w:ascii="Segoe UI" w:hAnsi="Segoe UI" w:cs="Segoe UI"/>
          <w:color w:val="000000" w:themeColor="text1"/>
          <w:sz w:val="18"/>
          <w:szCs w:val="18"/>
        </w:rPr>
        <w:t xml:space="preserve">* Федеральный закон от 03.08.2018 № 340-ФЗ «О внесении изменений в Градостроительный кодекс Российской Федерации и отдельные законодательные акты Российской Федерации». Порядок предоставления в </w:t>
      </w:r>
      <w:proofErr w:type="spellStart"/>
      <w:r w:rsidRPr="008B7BA3">
        <w:rPr>
          <w:rFonts w:ascii="Segoe UI" w:hAnsi="Segoe UI" w:cs="Segoe UI"/>
          <w:color w:val="000000" w:themeColor="text1"/>
          <w:sz w:val="18"/>
          <w:szCs w:val="18"/>
        </w:rPr>
        <w:t>Россреестр</w:t>
      </w:r>
      <w:proofErr w:type="spellEnd"/>
      <w:r w:rsidRPr="008B7BA3">
        <w:rPr>
          <w:rFonts w:ascii="Segoe UI" w:hAnsi="Segoe UI" w:cs="Segoe UI"/>
          <w:color w:val="000000" w:themeColor="text1"/>
          <w:sz w:val="18"/>
          <w:szCs w:val="18"/>
        </w:rPr>
        <w:t xml:space="preserve"> уполномоченными на выдачу разрешений на строительство органами государственной власти, органами местного самоуправления заявлений на кадастровый учет и регистрацию прав установлен частью 1.2 статьи 19 Федерального закона от 13.07.2015 № 218-ФЗ «О государственной регистрации недвижимости».</w:t>
      </w:r>
    </w:p>
    <w:p w:rsidR="006C40BD" w:rsidRPr="008B7BA3" w:rsidRDefault="006C40BD" w:rsidP="006C40BD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6C40BD" w:rsidRPr="008B7BA3" w:rsidRDefault="006C40BD" w:rsidP="006C40BD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8B7BA3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C72D1D" w:rsidRPr="008B7BA3" w:rsidRDefault="006C40BD" w:rsidP="00001FA6">
      <w:pPr>
        <w:spacing w:after="0" w:line="240" w:lineRule="auto"/>
        <w:rPr>
          <w:rFonts w:ascii="Segoe UI" w:hAnsi="Segoe UI" w:cs="Segoe UI"/>
          <w:color w:val="000000" w:themeColor="text1"/>
        </w:rPr>
      </w:pPr>
      <w:r w:rsidRPr="008B7BA3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6" w:history="1">
        <w:r w:rsidRPr="008B7BA3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8B7BA3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7" w:history="1">
        <w:r w:rsidRPr="008B7BA3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sectPr w:rsidR="00C72D1D" w:rsidRPr="008B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BD"/>
    <w:rsid w:val="00001FA6"/>
    <w:rsid w:val="00175030"/>
    <w:rsid w:val="00186938"/>
    <w:rsid w:val="004177F5"/>
    <w:rsid w:val="004C6DDF"/>
    <w:rsid w:val="006C40BD"/>
    <w:rsid w:val="007D1B25"/>
    <w:rsid w:val="008B7BA3"/>
    <w:rsid w:val="009F185B"/>
    <w:rsid w:val="00BD5C74"/>
    <w:rsid w:val="00C72D1D"/>
    <w:rsid w:val="00C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dcterms:created xsi:type="dcterms:W3CDTF">2019-05-29T11:41:00Z</dcterms:created>
  <dcterms:modified xsi:type="dcterms:W3CDTF">2019-05-29T11:41:00Z</dcterms:modified>
</cp:coreProperties>
</file>